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0" w:type="auto"/>
        <w:tblLook w:val="04A0" w:firstRow="1" w:lastRow="0" w:firstColumn="1" w:lastColumn="0" w:noHBand="0" w:noVBand="1"/>
      </w:tblPr>
      <w:tblGrid>
        <w:gridCol w:w="3872"/>
        <w:gridCol w:w="5184"/>
      </w:tblGrid>
      <w:tr w:rsidR="00951864" w:rsidRPr="00E11D1C" w:rsidTr="00F4762C">
        <w:tc>
          <w:tcPr>
            <w:tcW w:w="10456" w:type="dxa"/>
            <w:gridSpan w:val="2"/>
          </w:tcPr>
          <w:p w:rsidR="00951864" w:rsidRDefault="00951864" w:rsidP="00F4762C">
            <w:pPr>
              <w:jc w:val="center"/>
              <w:rPr>
                <w:sz w:val="20"/>
              </w:rPr>
            </w:pPr>
            <w:r>
              <w:rPr>
                <w:sz w:val="20"/>
              </w:rPr>
              <w:t>Historische vraag</w:t>
            </w:r>
          </w:p>
          <w:p w:rsidR="00951864" w:rsidRPr="00FD43BC" w:rsidRDefault="00951864" w:rsidP="00F4762C">
            <w:pPr>
              <w:jc w:val="center"/>
              <w:rPr>
                <w:i/>
                <w:sz w:val="20"/>
              </w:rPr>
            </w:pPr>
            <w:r>
              <w:rPr>
                <w:i/>
                <w:sz w:val="20"/>
              </w:rPr>
              <w:t>Wat weten we over Ambiorix?</w:t>
            </w:r>
          </w:p>
        </w:tc>
      </w:tr>
      <w:tr w:rsidR="00951864" w:rsidRPr="00E11D1C" w:rsidTr="00F4762C">
        <w:tc>
          <w:tcPr>
            <w:tcW w:w="5228" w:type="dxa"/>
          </w:tcPr>
          <w:p w:rsidR="00951864" w:rsidRPr="00E11D1C" w:rsidRDefault="00951864" w:rsidP="00F4762C">
            <w:pPr>
              <w:rPr>
                <w:sz w:val="20"/>
              </w:rPr>
            </w:pPr>
            <w:r w:rsidRPr="00E11D1C">
              <w:rPr>
                <w:sz w:val="20"/>
              </w:rPr>
              <w:t>Historische bronnen</w:t>
            </w:r>
          </w:p>
        </w:tc>
        <w:tc>
          <w:tcPr>
            <w:tcW w:w="5228" w:type="dxa"/>
          </w:tcPr>
          <w:p w:rsidR="00951864" w:rsidRPr="00E11D1C" w:rsidRDefault="00951864" w:rsidP="00F4762C">
            <w:pPr>
              <w:rPr>
                <w:sz w:val="20"/>
              </w:rPr>
            </w:pPr>
            <w:r w:rsidRPr="00E11D1C">
              <w:rPr>
                <w:sz w:val="20"/>
              </w:rPr>
              <w:t>Mythische beeldvorming</w:t>
            </w:r>
          </w:p>
        </w:tc>
      </w:tr>
      <w:tr w:rsidR="00951864" w:rsidRPr="00E11D1C" w:rsidTr="00F4762C">
        <w:tc>
          <w:tcPr>
            <w:tcW w:w="5228" w:type="dxa"/>
          </w:tcPr>
          <w:p w:rsidR="00951864" w:rsidRDefault="00951864" w:rsidP="00F4762C">
            <w:pPr>
              <w:rPr>
                <w:sz w:val="20"/>
              </w:rPr>
            </w:pPr>
            <w:r>
              <w:rPr>
                <w:sz w:val="20"/>
              </w:rPr>
              <w:t>Caesar, de Bello Gallico, boek 5.</w:t>
            </w:r>
          </w:p>
          <w:p w:rsidR="00951864" w:rsidRDefault="00951864" w:rsidP="00F4762C">
            <w:pPr>
              <w:rPr>
                <w:sz w:val="20"/>
              </w:rPr>
            </w:pPr>
          </w:p>
          <w:p w:rsidR="00951864" w:rsidRDefault="00951864" w:rsidP="00F4762C">
            <w:pPr>
              <w:rPr>
                <w:rFonts w:cstheme="minorHAnsi"/>
                <w:color w:val="000000"/>
                <w:sz w:val="20"/>
                <w:szCs w:val="20"/>
                <w:shd w:val="clear" w:color="auto" w:fill="FFFFFF"/>
              </w:rPr>
            </w:pPr>
            <w:r>
              <w:rPr>
                <w:rFonts w:cstheme="minorHAnsi"/>
                <w:color w:val="000000"/>
                <w:sz w:val="20"/>
                <w:szCs w:val="20"/>
                <w:shd w:val="clear" w:color="auto" w:fill="FFFFFF"/>
              </w:rPr>
              <w:t>“Caesar zond é</w:t>
            </w:r>
            <w:r w:rsidRPr="007A3092">
              <w:rPr>
                <w:rFonts w:cstheme="minorHAnsi"/>
                <w:color w:val="000000"/>
                <w:sz w:val="20"/>
                <w:szCs w:val="20"/>
                <w:shd w:val="clear" w:color="auto" w:fill="FFFFFF"/>
              </w:rPr>
              <w:t xml:space="preserve">én legioen, dat hij pas aan </w:t>
            </w:r>
            <w:r>
              <w:rPr>
                <w:rFonts w:cstheme="minorHAnsi"/>
                <w:color w:val="000000"/>
                <w:sz w:val="20"/>
                <w:szCs w:val="20"/>
                <w:shd w:val="clear" w:color="auto" w:fill="FFFFFF"/>
              </w:rPr>
              <w:t xml:space="preserve">de andere kant van de rivier de </w:t>
            </w:r>
            <w:r w:rsidRPr="007A3092">
              <w:rPr>
                <w:rFonts w:cstheme="minorHAnsi"/>
                <w:color w:val="000000"/>
                <w:sz w:val="20"/>
                <w:szCs w:val="20"/>
                <w:shd w:val="clear" w:color="auto" w:fill="FFFFFF"/>
              </w:rPr>
              <w:t>Po had opgericht, en vijf cohorten naar de Eburonen, w</w:t>
            </w:r>
            <w:r>
              <w:rPr>
                <w:rFonts w:cstheme="minorHAnsi"/>
                <w:color w:val="000000"/>
                <w:sz w:val="20"/>
                <w:szCs w:val="20"/>
                <w:shd w:val="clear" w:color="auto" w:fill="FFFFFF"/>
              </w:rPr>
              <w:t>aarvan het</w:t>
            </w:r>
            <w:r w:rsidRPr="007A3092">
              <w:rPr>
                <w:rFonts w:cstheme="minorHAnsi"/>
                <w:color w:val="000000"/>
                <w:sz w:val="20"/>
                <w:szCs w:val="20"/>
                <w:shd w:val="clear" w:color="auto" w:fill="FFFFFF"/>
              </w:rPr>
              <w:t xml:space="preserve"> land grotendeels tussen de Maas en de Rijn ligt, en die onder de heerschappij van Ambiorix en Catuvolcus stonden.</w:t>
            </w:r>
            <w:r>
              <w:rPr>
                <w:rFonts w:cstheme="minorHAnsi"/>
                <w:color w:val="000000"/>
                <w:sz w:val="20"/>
                <w:szCs w:val="20"/>
                <w:shd w:val="clear" w:color="auto" w:fill="FFFFFF"/>
              </w:rPr>
              <w:t>”</w:t>
            </w:r>
          </w:p>
          <w:p w:rsidR="00951864" w:rsidRDefault="00951864" w:rsidP="00F4762C">
            <w:pPr>
              <w:rPr>
                <w:rFonts w:cstheme="minorHAnsi"/>
                <w:sz w:val="20"/>
                <w:szCs w:val="20"/>
              </w:rPr>
            </w:pPr>
          </w:p>
          <w:p w:rsidR="00951864" w:rsidRDefault="00951864" w:rsidP="00F4762C">
            <w:pPr>
              <w:rPr>
                <w:rFonts w:cstheme="minorHAnsi"/>
                <w:sz w:val="20"/>
                <w:szCs w:val="20"/>
              </w:rPr>
            </w:pPr>
            <w:r>
              <w:rPr>
                <w:rFonts w:cstheme="minorHAnsi"/>
                <w:sz w:val="20"/>
                <w:szCs w:val="20"/>
              </w:rPr>
              <w:t xml:space="preserve">Caesar beschrijft nog hoe de Eburonen onder leiding van Ambiorix een legioen in de val lokken door hen te beloven dat hij niet zal aanvallen wanneer ze zich terugtrekken uit een winterfort, maar dat uiteindelijk toch te doen. Caesar gaat persoonlijk achter Ambiorix aan. Hij beschrijft hoe Ambiorix altijd net kan ontsnappen. </w:t>
            </w:r>
          </w:p>
          <w:p w:rsidR="00951864" w:rsidRDefault="00951864" w:rsidP="00F4762C">
            <w:pPr>
              <w:rPr>
                <w:rFonts w:cstheme="minorHAnsi"/>
                <w:sz w:val="20"/>
                <w:szCs w:val="20"/>
              </w:rPr>
            </w:pPr>
          </w:p>
          <w:p w:rsidR="00951864" w:rsidRDefault="00951864" w:rsidP="00F4762C">
            <w:pPr>
              <w:rPr>
                <w:rFonts w:cstheme="minorHAnsi"/>
                <w:sz w:val="20"/>
                <w:szCs w:val="20"/>
              </w:rPr>
            </w:pPr>
            <w:r>
              <w:rPr>
                <w:rFonts w:cstheme="minorHAnsi"/>
                <w:sz w:val="20"/>
                <w:szCs w:val="20"/>
              </w:rPr>
              <w:t>Caesar, de Bello Gallico, boek 6</w:t>
            </w:r>
          </w:p>
          <w:p w:rsidR="00951864" w:rsidRDefault="00951864" w:rsidP="00F4762C">
            <w:pPr>
              <w:rPr>
                <w:rFonts w:cstheme="minorHAnsi"/>
                <w:sz w:val="20"/>
                <w:szCs w:val="20"/>
              </w:rPr>
            </w:pPr>
          </w:p>
          <w:p w:rsidR="00951864" w:rsidRDefault="00951864" w:rsidP="00F4762C">
            <w:pPr>
              <w:rPr>
                <w:rFonts w:cstheme="minorHAnsi"/>
                <w:color w:val="000000"/>
                <w:sz w:val="20"/>
                <w:szCs w:val="20"/>
                <w:shd w:val="clear" w:color="auto" w:fill="FFFFFF"/>
              </w:rPr>
            </w:pPr>
            <w:r>
              <w:rPr>
                <w:rFonts w:cstheme="minorHAnsi"/>
                <w:color w:val="000000"/>
                <w:sz w:val="20"/>
                <w:szCs w:val="20"/>
                <w:shd w:val="clear" w:color="auto" w:fill="FFFFFF"/>
              </w:rPr>
              <w:t>“</w:t>
            </w:r>
            <w:r w:rsidRPr="007A3092">
              <w:rPr>
                <w:rFonts w:cstheme="minorHAnsi"/>
                <w:color w:val="000000"/>
                <w:sz w:val="20"/>
                <w:szCs w:val="20"/>
                <w:shd w:val="clear" w:color="auto" w:fill="FFFFFF"/>
              </w:rPr>
              <w:t xml:space="preserve">Maar altijd ontbrak er iets, een </w:t>
            </w:r>
            <w:r>
              <w:rPr>
                <w:rFonts w:cstheme="minorHAnsi"/>
                <w:color w:val="000000"/>
                <w:sz w:val="20"/>
                <w:szCs w:val="20"/>
                <w:shd w:val="clear" w:color="auto" w:fill="FFFFFF"/>
              </w:rPr>
              <w:t xml:space="preserve">of andere </w:t>
            </w:r>
            <w:r w:rsidRPr="007A3092">
              <w:rPr>
                <w:rFonts w:cstheme="minorHAnsi"/>
                <w:color w:val="000000"/>
                <w:sz w:val="20"/>
                <w:szCs w:val="20"/>
                <w:shd w:val="clear" w:color="auto" w:fill="FFFFFF"/>
              </w:rPr>
              <w:t xml:space="preserve">kleinigheid , </w:t>
            </w:r>
            <w:r>
              <w:rPr>
                <w:rFonts w:cstheme="minorHAnsi"/>
                <w:color w:val="000000"/>
                <w:sz w:val="20"/>
                <w:szCs w:val="20"/>
                <w:shd w:val="clear" w:color="auto" w:fill="FFFFFF"/>
              </w:rPr>
              <w:t>om de wens van Caesar [Ambiorix gevangen nemen] te vervullen.</w:t>
            </w:r>
            <w:r w:rsidRPr="007A3092">
              <w:rPr>
                <w:rFonts w:cstheme="minorHAnsi"/>
                <w:color w:val="000000"/>
                <w:sz w:val="20"/>
                <w:szCs w:val="20"/>
                <w:shd w:val="clear" w:color="auto" w:fill="FFFFFF"/>
              </w:rPr>
              <w:t>. Ambiorix redde zich in de schuilhoeken of bergkloven en onder bescherming van de nacht vluchtte hij met een geleide van niet meer dan vier ruiters, de enigen, aan wie hij zijn leven durfde toevertrouwen, naar andere streken en oorden.</w:t>
            </w:r>
            <w:r>
              <w:rPr>
                <w:rFonts w:cstheme="minorHAnsi"/>
                <w:color w:val="000000"/>
                <w:sz w:val="20"/>
                <w:szCs w:val="20"/>
                <w:shd w:val="clear" w:color="auto" w:fill="FFFFFF"/>
              </w:rPr>
              <w:t>”</w:t>
            </w:r>
          </w:p>
          <w:p w:rsidR="00951864" w:rsidRDefault="00951864" w:rsidP="00F4762C">
            <w:pPr>
              <w:rPr>
                <w:rFonts w:cstheme="minorHAnsi"/>
                <w:sz w:val="20"/>
                <w:szCs w:val="20"/>
              </w:rPr>
            </w:pPr>
          </w:p>
          <w:p w:rsidR="00951864" w:rsidRDefault="00951864" w:rsidP="00F4762C">
            <w:pPr>
              <w:rPr>
                <w:noProof/>
              </w:rPr>
            </w:pPr>
            <w:r>
              <w:rPr>
                <w:rFonts w:cstheme="minorHAnsi"/>
                <w:sz w:val="20"/>
                <w:szCs w:val="20"/>
              </w:rPr>
              <w:t>Het is de enige en laatste keer dat Ambiorix in een bron vermeld wordt. Alleen Caesar zorgt dus voor informatie.</w:t>
            </w:r>
          </w:p>
        </w:tc>
        <w:tc>
          <w:tcPr>
            <w:tcW w:w="5228" w:type="dxa"/>
          </w:tcPr>
          <w:p w:rsidR="00951864" w:rsidRDefault="00951864" w:rsidP="00F4762C">
            <w:pPr>
              <w:rPr>
                <w:sz w:val="20"/>
              </w:rPr>
            </w:pPr>
            <w:r>
              <w:rPr>
                <w:noProof/>
                <w:lang w:val="en-US"/>
              </w:rPr>
              <w:drawing>
                <wp:inline distT="0" distB="0" distL="0" distR="0" wp14:anchorId="19F16542" wp14:editId="5CC64381">
                  <wp:extent cx="3101286" cy="4638675"/>
                  <wp:effectExtent l="0" t="0" r="4445" b="0"/>
                  <wp:docPr id="10095" name="Afbeelding 10095" descr="Afbeeldingsresultaat voor ambiorix tong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ambiorix tonger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06309" cy="4646188"/>
                          </a:xfrm>
                          <a:prstGeom prst="rect">
                            <a:avLst/>
                          </a:prstGeom>
                          <a:noFill/>
                          <a:ln>
                            <a:noFill/>
                          </a:ln>
                        </pic:spPr>
                      </pic:pic>
                    </a:graphicData>
                  </a:graphic>
                </wp:inline>
              </w:drawing>
            </w:r>
          </w:p>
          <w:p w:rsidR="00951864" w:rsidRPr="00E11D1C" w:rsidRDefault="00951864" w:rsidP="00F4762C">
            <w:pPr>
              <w:rPr>
                <w:i/>
                <w:sz w:val="20"/>
              </w:rPr>
            </w:pPr>
            <w:r>
              <w:rPr>
                <w:i/>
                <w:sz w:val="20"/>
              </w:rPr>
              <w:t>Beeld van Ambiorix in Tongeren, onthuld in 1866 en gemaakt door Jules Bertin.</w:t>
            </w:r>
          </w:p>
        </w:tc>
      </w:tr>
      <w:tr w:rsidR="00951864" w:rsidRPr="00E11D1C" w:rsidTr="00F4762C">
        <w:tc>
          <w:tcPr>
            <w:tcW w:w="5228" w:type="dxa"/>
          </w:tcPr>
          <w:p w:rsidR="00951864" w:rsidRDefault="00951864" w:rsidP="00F4762C">
            <w:pPr>
              <w:rPr>
                <w:sz w:val="20"/>
              </w:rPr>
            </w:pPr>
            <w:r>
              <w:rPr>
                <w:sz w:val="20"/>
              </w:rPr>
              <w:t>Wat weten we zeker over Ambiorix, op basis van de bron?</w:t>
            </w:r>
          </w:p>
        </w:tc>
        <w:tc>
          <w:tcPr>
            <w:tcW w:w="5228" w:type="dxa"/>
          </w:tcPr>
          <w:p w:rsidR="00951864" w:rsidRPr="00E11D1C" w:rsidRDefault="00951864" w:rsidP="00F4762C">
            <w:pPr>
              <w:rPr>
                <w:sz w:val="20"/>
              </w:rPr>
            </w:pPr>
            <w:r>
              <w:rPr>
                <w:sz w:val="20"/>
              </w:rPr>
              <w:t>Wat voegt de mythische voorstelling toe, zonder dat de bronnen daarover iets zeggen?</w:t>
            </w:r>
          </w:p>
        </w:tc>
      </w:tr>
      <w:tr w:rsidR="00951864" w:rsidRPr="00E11D1C" w:rsidTr="00F4762C">
        <w:tc>
          <w:tcPr>
            <w:tcW w:w="5228" w:type="dxa"/>
          </w:tcPr>
          <w:p w:rsidR="00951864" w:rsidRPr="007A3092" w:rsidRDefault="00951864" w:rsidP="00F4762C">
            <w:pPr>
              <w:rPr>
                <w:i/>
                <w:sz w:val="20"/>
              </w:rPr>
            </w:pPr>
            <w:r>
              <w:rPr>
                <w:i/>
                <w:sz w:val="20"/>
              </w:rPr>
              <w:t xml:space="preserve">Hij was koning. Hij heeft een Romeins legioen met een list (volgens Caesar: laffe woordbreuk) verslagen. Uiteindelijk moet hij </w:t>
            </w:r>
            <w:r>
              <w:rPr>
                <w:i/>
                <w:sz w:val="20"/>
              </w:rPr>
              <w:lastRenderedPageBreak/>
              <w:t xml:space="preserve">vluchten. Zelfs over deze info twijfelen we want alleen Caesar zegt iets over Ambiorix. </w:t>
            </w:r>
          </w:p>
          <w:p w:rsidR="00951864" w:rsidRDefault="00951864" w:rsidP="00F4762C">
            <w:pPr>
              <w:rPr>
                <w:i/>
                <w:sz w:val="20"/>
              </w:rPr>
            </w:pPr>
          </w:p>
        </w:tc>
        <w:tc>
          <w:tcPr>
            <w:tcW w:w="5228" w:type="dxa"/>
          </w:tcPr>
          <w:p w:rsidR="00951864" w:rsidRPr="007330A4" w:rsidRDefault="00951864" w:rsidP="00F4762C">
            <w:pPr>
              <w:rPr>
                <w:i/>
                <w:sz w:val="20"/>
              </w:rPr>
            </w:pPr>
            <w:r>
              <w:rPr>
                <w:i/>
                <w:sz w:val="20"/>
              </w:rPr>
              <w:lastRenderedPageBreak/>
              <w:t>Ambiorix wordt hier als een heel krachtige man afgebeeld, met een typische kledij en wapendracht. We weten echter helemaal niet hoe hij eruit zag! En als we Caesar mogen geloven, was hij eerder laf dan een held.</w:t>
            </w:r>
          </w:p>
        </w:tc>
      </w:tr>
    </w:tbl>
    <w:p w:rsidR="00951864" w:rsidRDefault="00951864" w:rsidP="00951864">
      <w:pPr>
        <w:rPr>
          <w:lang w:val="nl-BE"/>
        </w:rPr>
      </w:pPr>
    </w:p>
    <w:tbl>
      <w:tblPr>
        <w:tblStyle w:val="Tabelraster"/>
        <w:tblW w:w="0" w:type="auto"/>
        <w:tblLook w:val="04A0" w:firstRow="1" w:lastRow="0" w:firstColumn="1" w:lastColumn="0" w:noHBand="0" w:noVBand="1"/>
      </w:tblPr>
      <w:tblGrid>
        <w:gridCol w:w="4002"/>
        <w:gridCol w:w="5054"/>
      </w:tblGrid>
      <w:tr w:rsidR="00951864" w:rsidRPr="00E11D1C" w:rsidTr="00F4762C">
        <w:tc>
          <w:tcPr>
            <w:tcW w:w="10456" w:type="dxa"/>
            <w:gridSpan w:val="2"/>
          </w:tcPr>
          <w:p w:rsidR="00951864" w:rsidRDefault="00951864" w:rsidP="00F4762C">
            <w:pPr>
              <w:jc w:val="center"/>
              <w:rPr>
                <w:sz w:val="20"/>
              </w:rPr>
            </w:pPr>
            <w:r>
              <w:rPr>
                <w:sz w:val="20"/>
              </w:rPr>
              <w:t>Historische vraag</w:t>
            </w:r>
          </w:p>
          <w:p w:rsidR="00951864" w:rsidRPr="00E11D1C" w:rsidRDefault="00951864" w:rsidP="00F4762C">
            <w:pPr>
              <w:jc w:val="center"/>
              <w:rPr>
                <w:sz w:val="20"/>
              </w:rPr>
            </w:pPr>
            <w:r>
              <w:rPr>
                <w:i/>
                <w:sz w:val="20"/>
              </w:rPr>
              <w:t>Wat schreef Caesar over de Belgae?</w:t>
            </w:r>
          </w:p>
        </w:tc>
      </w:tr>
      <w:tr w:rsidR="00951864" w:rsidRPr="00E11D1C" w:rsidTr="00F4762C">
        <w:tc>
          <w:tcPr>
            <w:tcW w:w="5228" w:type="dxa"/>
          </w:tcPr>
          <w:p w:rsidR="00951864" w:rsidRPr="00E11D1C" w:rsidRDefault="00951864" w:rsidP="00F4762C">
            <w:pPr>
              <w:rPr>
                <w:sz w:val="20"/>
              </w:rPr>
            </w:pPr>
            <w:r w:rsidRPr="00E11D1C">
              <w:rPr>
                <w:sz w:val="20"/>
              </w:rPr>
              <w:t>Historische bronnen</w:t>
            </w:r>
          </w:p>
        </w:tc>
        <w:tc>
          <w:tcPr>
            <w:tcW w:w="5228" w:type="dxa"/>
          </w:tcPr>
          <w:p w:rsidR="00951864" w:rsidRPr="00E11D1C" w:rsidRDefault="00951864" w:rsidP="00F4762C">
            <w:pPr>
              <w:rPr>
                <w:sz w:val="20"/>
              </w:rPr>
            </w:pPr>
            <w:r w:rsidRPr="00E11D1C">
              <w:rPr>
                <w:sz w:val="20"/>
              </w:rPr>
              <w:t>Mythische beeldvorming</w:t>
            </w:r>
          </w:p>
        </w:tc>
      </w:tr>
      <w:tr w:rsidR="00951864" w:rsidRPr="00E11D1C" w:rsidTr="00F4762C">
        <w:tc>
          <w:tcPr>
            <w:tcW w:w="5228" w:type="dxa"/>
          </w:tcPr>
          <w:p w:rsidR="00951864" w:rsidRDefault="00951864" w:rsidP="00F4762C">
            <w:pPr>
              <w:rPr>
                <w:sz w:val="20"/>
              </w:rPr>
            </w:pPr>
            <w:r>
              <w:rPr>
                <w:sz w:val="20"/>
              </w:rPr>
              <w:t>Caesar, de Bello Gallico, boek 1</w:t>
            </w:r>
          </w:p>
          <w:p w:rsidR="00951864" w:rsidRDefault="00951864" w:rsidP="00F4762C">
            <w:pPr>
              <w:rPr>
                <w:sz w:val="20"/>
              </w:rPr>
            </w:pPr>
          </w:p>
          <w:p w:rsidR="00951864" w:rsidRDefault="00951864" w:rsidP="00F4762C">
            <w:pPr>
              <w:rPr>
                <w:noProof/>
              </w:rPr>
            </w:pPr>
            <w:r w:rsidRPr="00FD43BC">
              <w:rPr>
                <w:sz w:val="20"/>
              </w:rPr>
              <w:t xml:space="preserve">“Gallië is verdeeld in drie delen, waarvan er één bewoond wordt door de Belgen, een ander door de Aquitaniërs, een derde door hen die zichzelf in hun taal </w:t>
            </w:r>
            <w:hyperlink r:id="rId5" w:tooltip="Kelten" w:history="1">
              <w:r w:rsidRPr="00FD43BC">
                <w:rPr>
                  <w:rStyle w:val="Hyperlink"/>
                  <w:sz w:val="20"/>
                </w:rPr>
                <w:t>Kelten</w:t>
              </w:r>
            </w:hyperlink>
            <w:r w:rsidRPr="00FD43BC">
              <w:rPr>
                <w:sz w:val="20"/>
              </w:rPr>
              <w:t xml:space="preserve"> noemen, maar die wij Galliërs noemen. Ze verschillen onderling van taal, instituties en wetten. De Galliërs zijn van de Aquitaniërs gescheiden door de Garonne, van de Belgae door de Marne en de Seine. Van hen allen zijn de Belgae de dappersten, omdat ze het verst van de cultuur en bevolking van de provincie verwijderd zijn, omdat er weinig handelaars hen bezoeken (waardoor hun geest verwijfd zou raken) en omdat ze zich het dichtst bevinden bij de Germanen, die over de Rijn wonen en met wie ze oorlog voeren.”</w:t>
            </w:r>
          </w:p>
        </w:tc>
        <w:tc>
          <w:tcPr>
            <w:tcW w:w="5228" w:type="dxa"/>
          </w:tcPr>
          <w:p w:rsidR="00951864" w:rsidRDefault="00951864" w:rsidP="00F4762C">
            <w:pPr>
              <w:rPr>
                <w:i/>
                <w:sz w:val="20"/>
              </w:rPr>
            </w:pPr>
            <w:r w:rsidRPr="007330A4">
              <w:rPr>
                <w:noProof/>
                <w:lang w:val="en-US"/>
              </w:rPr>
              <w:drawing>
                <wp:inline distT="0" distB="0" distL="0" distR="0" wp14:anchorId="3D18A459" wp14:editId="7565C72A">
                  <wp:extent cx="2809875" cy="2581275"/>
                  <wp:effectExtent l="0" t="0" r="9525" b="9525"/>
                  <wp:docPr id="10098" name="Afbeelding 1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
                            <a:extLst>
                              <a:ext uri="{28A0092B-C50C-407E-A947-70E740481C1C}">
                                <a14:useLocalDpi xmlns:a14="http://schemas.microsoft.com/office/drawing/2010/main" val="0"/>
                              </a:ext>
                            </a:extLst>
                          </a:blip>
                          <a:srcRect l="15986" t="2026" r="4083" b="6417"/>
                          <a:stretch/>
                        </pic:blipFill>
                        <pic:spPr bwMode="auto">
                          <a:xfrm>
                            <a:off x="0" y="0"/>
                            <a:ext cx="2816137" cy="2587028"/>
                          </a:xfrm>
                          <a:prstGeom prst="rect">
                            <a:avLst/>
                          </a:prstGeom>
                          <a:noFill/>
                          <a:ln>
                            <a:noFill/>
                          </a:ln>
                          <a:extLst>
                            <a:ext uri="{53640926-AAD7-44D8-BBD7-CCE9431645EC}">
                              <a14:shadowObscured xmlns:a14="http://schemas.microsoft.com/office/drawing/2010/main"/>
                            </a:ext>
                          </a:extLst>
                        </pic:spPr>
                      </pic:pic>
                    </a:graphicData>
                  </a:graphic>
                </wp:inline>
              </w:drawing>
            </w:r>
          </w:p>
          <w:p w:rsidR="00951864" w:rsidRDefault="00951864" w:rsidP="00F4762C">
            <w:pPr>
              <w:rPr>
                <w:i/>
                <w:sz w:val="20"/>
              </w:rPr>
            </w:pPr>
            <w:r>
              <w:rPr>
                <w:i/>
                <w:sz w:val="20"/>
              </w:rPr>
              <w:t xml:space="preserve">Prentje uit de populaire reeks ’s Lands Glorie (jaren 1950), een boekenreeks waarvoor je de prentjes kon krijgen door punten te verzamelen. Die punten stonden op de verpakking van voedingsproducten (chocolade en zo). </w:t>
            </w:r>
          </w:p>
          <w:p w:rsidR="00951864" w:rsidRPr="00E11D1C" w:rsidRDefault="00951864" w:rsidP="00F4762C">
            <w:pPr>
              <w:rPr>
                <w:i/>
                <w:sz w:val="20"/>
              </w:rPr>
            </w:pPr>
          </w:p>
        </w:tc>
      </w:tr>
      <w:tr w:rsidR="00951864" w:rsidRPr="00E11D1C" w:rsidTr="00F4762C">
        <w:tc>
          <w:tcPr>
            <w:tcW w:w="5228" w:type="dxa"/>
          </w:tcPr>
          <w:p w:rsidR="00951864" w:rsidRDefault="00951864" w:rsidP="00F4762C">
            <w:pPr>
              <w:rPr>
                <w:sz w:val="20"/>
              </w:rPr>
            </w:pPr>
            <w:r>
              <w:rPr>
                <w:sz w:val="20"/>
              </w:rPr>
              <w:t>Wat weten we zeker over de Belgae, op basis van de bron?</w:t>
            </w:r>
          </w:p>
        </w:tc>
        <w:tc>
          <w:tcPr>
            <w:tcW w:w="5228" w:type="dxa"/>
          </w:tcPr>
          <w:p w:rsidR="00951864" w:rsidRPr="00E11D1C" w:rsidRDefault="00951864" w:rsidP="00F4762C">
            <w:pPr>
              <w:rPr>
                <w:sz w:val="20"/>
              </w:rPr>
            </w:pPr>
            <w:r>
              <w:rPr>
                <w:sz w:val="20"/>
              </w:rPr>
              <w:t>Welke zaken verzwijgt deze voorstelling?</w:t>
            </w:r>
          </w:p>
        </w:tc>
      </w:tr>
      <w:tr w:rsidR="00951864" w:rsidRPr="00E11D1C" w:rsidTr="00F4762C">
        <w:tc>
          <w:tcPr>
            <w:tcW w:w="5228" w:type="dxa"/>
          </w:tcPr>
          <w:p w:rsidR="00951864" w:rsidRDefault="00951864" w:rsidP="00F4762C">
            <w:pPr>
              <w:rPr>
                <w:i/>
                <w:sz w:val="20"/>
              </w:rPr>
            </w:pPr>
          </w:p>
          <w:p w:rsidR="00951864" w:rsidRDefault="00951864" w:rsidP="00F4762C">
            <w:pPr>
              <w:rPr>
                <w:i/>
                <w:sz w:val="20"/>
              </w:rPr>
            </w:pPr>
          </w:p>
          <w:p w:rsidR="00951864" w:rsidRDefault="00951864" w:rsidP="00F4762C">
            <w:pPr>
              <w:rPr>
                <w:i/>
                <w:sz w:val="20"/>
              </w:rPr>
            </w:pPr>
          </w:p>
          <w:p w:rsidR="00951864" w:rsidRDefault="00951864" w:rsidP="00F4762C">
            <w:pPr>
              <w:rPr>
                <w:i/>
                <w:sz w:val="20"/>
              </w:rPr>
            </w:pPr>
          </w:p>
          <w:p w:rsidR="00951864" w:rsidRDefault="00951864" w:rsidP="00F4762C">
            <w:pPr>
              <w:rPr>
                <w:i/>
                <w:sz w:val="20"/>
              </w:rPr>
            </w:pPr>
          </w:p>
        </w:tc>
        <w:tc>
          <w:tcPr>
            <w:tcW w:w="5228" w:type="dxa"/>
          </w:tcPr>
          <w:p w:rsidR="00951864" w:rsidRPr="007330A4" w:rsidRDefault="00951864" w:rsidP="00F4762C">
            <w:pPr>
              <w:rPr>
                <w:i/>
                <w:sz w:val="20"/>
              </w:rPr>
            </w:pPr>
          </w:p>
        </w:tc>
      </w:tr>
    </w:tbl>
    <w:p w:rsidR="00952919" w:rsidRDefault="00951864">
      <w:bookmarkStart w:id="0" w:name="_GoBack"/>
      <w:bookmarkEnd w:id="0"/>
    </w:p>
    <w:sectPr w:rsidR="00952919" w:rsidSect="00211CC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864"/>
    <w:rsid w:val="00054F20"/>
    <w:rsid w:val="001800C3"/>
    <w:rsid w:val="00211CCA"/>
    <w:rsid w:val="00226B57"/>
    <w:rsid w:val="0026612B"/>
    <w:rsid w:val="00301C67"/>
    <w:rsid w:val="004F0C3E"/>
    <w:rsid w:val="004F4AD8"/>
    <w:rsid w:val="005561EB"/>
    <w:rsid w:val="005D5716"/>
    <w:rsid w:val="006F0CBD"/>
    <w:rsid w:val="007146AC"/>
    <w:rsid w:val="00951864"/>
    <w:rsid w:val="00AF0656"/>
    <w:rsid w:val="00B03CB4"/>
    <w:rsid w:val="00B477B6"/>
    <w:rsid w:val="00D35E54"/>
    <w:rsid w:val="00D877C8"/>
    <w:rsid w:val="00E809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8CE57"/>
  <w14:defaultImageDpi w14:val="32767"/>
  <w15:chartTrackingRefBased/>
  <w15:docId w15:val="{2869B104-4EAD-F341-9EDD-2FD894D9E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951864"/>
    <w:pPr>
      <w:spacing w:after="160" w:line="259" w:lineRule="auto"/>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51864"/>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951864"/>
    <w:rPr>
      <w:color w:val="0563C1" w:themeColor="hyperlink"/>
      <w:u w:val="single"/>
    </w:rPr>
  </w:style>
  <w:style w:type="paragraph" w:styleId="Ballontekst">
    <w:name w:val="Balloon Text"/>
    <w:basedOn w:val="Standaard"/>
    <w:link w:val="BallontekstChar"/>
    <w:uiPriority w:val="99"/>
    <w:semiHidden/>
    <w:unhideWhenUsed/>
    <w:rsid w:val="00951864"/>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95186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s://historiek.net/thema/kelten/" TargetMode="External"/><Relationship Id="rId4"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2620</Characters>
  <Application>Microsoft Office Word</Application>
  <DocSecurity>0</DocSecurity>
  <Lines>131</Lines>
  <Paragraphs>74</Paragraphs>
  <ScaleCrop>false</ScaleCrop>
  <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Puttevils</dc:creator>
  <cp:keywords/>
  <dc:description/>
  <cp:lastModifiedBy>Tim Puttevils</cp:lastModifiedBy>
  <cp:revision>1</cp:revision>
  <dcterms:created xsi:type="dcterms:W3CDTF">2019-04-12T08:00:00Z</dcterms:created>
  <dcterms:modified xsi:type="dcterms:W3CDTF">2019-04-12T08:00:00Z</dcterms:modified>
</cp:coreProperties>
</file>